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pPr w:leftFromText="180" w:rightFromText="180" w:horzAnchor="margin" w:tblpY="508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03197" w:rsidRPr="00A62D94" w:rsidTr="002F2480">
        <w:trPr>
          <w:trHeight w:val="558"/>
        </w:trPr>
        <w:tc>
          <w:tcPr>
            <w:tcW w:w="4621" w:type="dxa"/>
          </w:tcPr>
          <w:p w:rsidR="00603197" w:rsidRPr="002F2480" w:rsidRDefault="00603197" w:rsidP="00F700C5">
            <w:pPr>
              <w:ind w:left="0" w:firstLine="0"/>
              <w:rPr>
                <w:sz w:val="18"/>
                <w:szCs w:val="18"/>
              </w:rPr>
            </w:pPr>
            <w:bookmarkStart w:id="0" w:name="_GoBack"/>
            <w:bookmarkEnd w:id="0"/>
            <w:r w:rsidRPr="002F2480">
              <w:rPr>
                <w:sz w:val="18"/>
                <w:szCs w:val="18"/>
              </w:rPr>
              <w:t xml:space="preserve">CARF </w:t>
            </w:r>
          </w:p>
          <w:p w:rsidR="00603197" w:rsidRPr="002F2480" w:rsidRDefault="007E031C" w:rsidP="00B655CE">
            <w:pPr>
              <w:ind w:left="0" w:firstLine="0"/>
              <w:rPr>
                <w:sz w:val="18"/>
                <w:szCs w:val="18"/>
              </w:rPr>
            </w:pPr>
            <w:r w:rsidRPr="002F2480">
              <w:rPr>
                <w:sz w:val="18"/>
                <w:szCs w:val="18"/>
              </w:rPr>
              <w:t xml:space="preserve">SCQF Level </w:t>
            </w:r>
            <w:r w:rsidR="00AE038D" w:rsidRPr="002F2480">
              <w:rPr>
                <w:sz w:val="18"/>
                <w:szCs w:val="18"/>
              </w:rPr>
              <w:t>7</w:t>
            </w:r>
          </w:p>
        </w:tc>
        <w:tc>
          <w:tcPr>
            <w:tcW w:w="4621" w:type="dxa"/>
          </w:tcPr>
          <w:p w:rsidR="00C12D4C" w:rsidRPr="002F2480" w:rsidRDefault="00C12D4C" w:rsidP="00C12D4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F2480">
              <w:rPr>
                <w:sz w:val="18"/>
                <w:szCs w:val="18"/>
              </w:rPr>
              <w:t>Adviser  (</w:t>
            </w:r>
            <w:r w:rsidR="002F2480" w:rsidRPr="002F2480">
              <w:rPr>
                <w:sz w:val="18"/>
                <w:szCs w:val="18"/>
              </w:rPr>
              <w:t>Client Representation Unit</w:t>
            </w:r>
            <w:r w:rsidRPr="002F2480">
              <w:rPr>
                <w:rFonts w:ascii="Arial" w:hAnsi="Arial"/>
                <w:sz w:val="18"/>
                <w:szCs w:val="18"/>
              </w:rPr>
              <w:t>)</w:t>
            </w:r>
          </w:p>
          <w:p w:rsidR="00603197" w:rsidRPr="002F2480" w:rsidRDefault="00962C1F" w:rsidP="002F2480">
            <w:pPr>
              <w:ind w:left="1440"/>
              <w:rPr>
                <w:rFonts w:ascii="Calibri" w:eastAsia="Calibri" w:hAnsi="Calibri" w:cs="Arial"/>
                <w:color w:val="FFFFFF"/>
                <w:sz w:val="18"/>
                <w:szCs w:val="18"/>
              </w:rPr>
            </w:pPr>
            <w:r w:rsidRPr="002F2480">
              <w:rPr>
                <w:rFonts w:ascii="Calibri" w:eastAsia="Calibri" w:hAnsi="Calibri" w:cs="Arial"/>
                <w:color w:val="FFFFFF"/>
                <w:sz w:val="18"/>
                <w:szCs w:val="18"/>
              </w:rPr>
              <w:t xml:space="preserve">       </w:t>
            </w:r>
          </w:p>
        </w:tc>
      </w:tr>
      <w:tr w:rsidR="00603197" w:rsidRPr="00A62D94" w:rsidTr="009C7C36">
        <w:tc>
          <w:tcPr>
            <w:tcW w:w="4621" w:type="dxa"/>
          </w:tcPr>
          <w:p w:rsidR="005578B4" w:rsidRDefault="007E031C" w:rsidP="00F700C5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  <w:r w:rsidR="005578B4">
              <w:rPr>
                <w:sz w:val="18"/>
                <w:szCs w:val="18"/>
              </w:rPr>
              <w:t xml:space="preserve"> &amp; Location </w:t>
            </w:r>
          </w:p>
          <w:p w:rsidR="00603197" w:rsidRPr="00F700C5" w:rsidRDefault="00603197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>Reporting To</w:t>
            </w:r>
            <w:r w:rsidR="005578B4">
              <w:rPr>
                <w:sz w:val="18"/>
                <w:szCs w:val="18"/>
              </w:rPr>
              <w:t>:</w:t>
            </w:r>
          </w:p>
        </w:tc>
        <w:tc>
          <w:tcPr>
            <w:tcW w:w="4621" w:type="dxa"/>
          </w:tcPr>
          <w:p w:rsidR="00AF708A" w:rsidRPr="002F2480" w:rsidRDefault="002F2480" w:rsidP="00962C1F">
            <w:pPr>
              <w:ind w:left="0" w:firstLine="0"/>
              <w:rPr>
                <w:sz w:val="18"/>
                <w:szCs w:val="18"/>
              </w:rPr>
            </w:pPr>
            <w:r w:rsidRPr="002F2480">
              <w:rPr>
                <w:sz w:val="18"/>
                <w:szCs w:val="18"/>
              </w:rPr>
              <w:t>Client Representation Unit</w:t>
            </w:r>
            <w:r w:rsidR="00AF708A" w:rsidRPr="002F2480">
              <w:rPr>
                <w:sz w:val="18"/>
                <w:szCs w:val="18"/>
              </w:rPr>
              <w:t>, Flemington Road, Glenrothes</w:t>
            </w:r>
          </w:p>
          <w:p w:rsidR="00603197" w:rsidRPr="002F2480" w:rsidRDefault="00431A89" w:rsidP="00962C1F">
            <w:pPr>
              <w:ind w:left="0" w:firstLine="0"/>
              <w:rPr>
                <w:sz w:val="18"/>
                <w:szCs w:val="18"/>
              </w:rPr>
            </w:pPr>
            <w:r w:rsidRPr="002F2480">
              <w:rPr>
                <w:rFonts w:ascii="Calibri" w:eastAsia="Calibri" w:hAnsi="Calibri" w:cs="Arial"/>
                <w:sz w:val="18"/>
                <w:szCs w:val="18"/>
              </w:rPr>
              <w:t>Advice Services Manager</w:t>
            </w:r>
          </w:p>
        </w:tc>
      </w:tr>
      <w:tr w:rsidR="00603197" w:rsidRPr="00A62D94" w:rsidTr="009C7C36">
        <w:tc>
          <w:tcPr>
            <w:tcW w:w="4621" w:type="dxa"/>
          </w:tcPr>
          <w:p w:rsidR="00603197" w:rsidRPr="00F700C5" w:rsidRDefault="005578B4" w:rsidP="00F700C5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1" w:type="dxa"/>
          </w:tcPr>
          <w:p w:rsidR="00603197" w:rsidRPr="00F700C5" w:rsidRDefault="00A8394A" w:rsidP="00962C1F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>Purpose of Job</w:t>
            </w:r>
          </w:p>
        </w:tc>
        <w:tc>
          <w:tcPr>
            <w:tcW w:w="4621" w:type="dxa"/>
          </w:tcPr>
          <w:p w:rsidR="00C12D4C" w:rsidRPr="00C12D4C" w:rsidRDefault="00C12D4C" w:rsidP="00C41D98">
            <w:pPr>
              <w:pStyle w:val="BodyTex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>Citizens Advice and Rights Fife delivers information, advice and representation services</w:t>
            </w:r>
            <w:r w:rsidR="008823AE">
              <w:rPr>
                <w:rFonts w:asciiTheme="minorHAnsi" w:hAnsiTheme="minorHAnsi"/>
                <w:b w:val="0"/>
                <w:sz w:val="18"/>
                <w:szCs w:val="18"/>
              </w:rPr>
              <w:t xml:space="preserve">. </w:t>
            </w: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>Advisers are responsible for the delivery of high quality services across Fife and are expected to demonstrate and adhere to good practice in all aspects of their work.</w:t>
            </w:r>
          </w:p>
          <w:p w:rsidR="00C12D4C" w:rsidRPr="00C12D4C" w:rsidRDefault="00C12D4C" w:rsidP="00C41D98">
            <w:pPr>
              <w:pStyle w:val="BodyTex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C12D4C" w:rsidRDefault="00C12D4C" w:rsidP="00C41D98">
            <w:pPr>
              <w:pStyle w:val="BodyTex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 xml:space="preserve">As an adviser within the </w:t>
            </w:r>
            <w:r w:rsidR="00C41D98">
              <w:rPr>
                <w:rFonts w:asciiTheme="minorHAnsi" w:hAnsiTheme="minorHAnsi"/>
                <w:b w:val="0"/>
                <w:sz w:val="18"/>
                <w:szCs w:val="18"/>
              </w:rPr>
              <w:t>Client Representation Unit</w:t>
            </w:r>
            <w:r w:rsidR="008823AE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>you will be expected to keep your skill</w:t>
            </w:r>
            <w:r w:rsidR="00C41D98">
              <w:rPr>
                <w:rFonts w:asciiTheme="minorHAnsi" w:hAnsiTheme="minorHAnsi"/>
                <w:b w:val="0"/>
                <w:sz w:val="18"/>
                <w:szCs w:val="18"/>
              </w:rPr>
              <w:t>s, knowledge and experience up-</w:t>
            </w: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>to-date in all key areas of service delivery.  This may include carrying out work in or on behalf of ot</w:t>
            </w:r>
            <w:r w:rsidR="00C41D98">
              <w:rPr>
                <w:rFonts w:asciiTheme="minorHAnsi" w:hAnsiTheme="minorHAnsi"/>
                <w:b w:val="0"/>
                <w:sz w:val="18"/>
                <w:szCs w:val="18"/>
              </w:rPr>
              <w:t>her teams, including frontline.</w:t>
            </w:r>
          </w:p>
          <w:p w:rsidR="00C12D4C" w:rsidRDefault="00C12D4C" w:rsidP="00C41D98">
            <w:pPr>
              <w:pStyle w:val="BodyTex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ab/>
            </w:r>
          </w:p>
          <w:p w:rsidR="00C12D4C" w:rsidRPr="00C12D4C" w:rsidRDefault="00C12D4C" w:rsidP="00C41D98">
            <w:pPr>
              <w:pStyle w:val="BodyTex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 xml:space="preserve">To provide a comprehensive and quality specialist support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    s</w:t>
            </w:r>
            <w:r w:rsidRPr="00C12D4C">
              <w:rPr>
                <w:rFonts w:asciiTheme="minorHAnsi" w:hAnsiTheme="minorHAnsi"/>
                <w:b w:val="0"/>
                <w:sz w:val="18"/>
                <w:szCs w:val="18"/>
              </w:rPr>
              <w:t>ervice to clients and also to support other staff involved</w:t>
            </w:r>
          </w:p>
          <w:p w:rsidR="00A33664" w:rsidRPr="00A52F30" w:rsidRDefault="00C12D4C" w:rsidP="00A52F30">
            <w:pPr>
              <w:jc w:val="both"/>
              <w:rPr>
                <w:sz w:val="18"/>
                <w:szCs w:val="18"/>
              </w:rPr>
            </w:pPr>
            <w:r w:rsidRPr="00C12D4C">
              <w:rPr>
                <w:sz w:val="18"/>
                <w:szCs w:val="18"/>
              </w:rPr>
              <w:t>in advice provision.</w:t>
            </w: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>Competencies</w:t>
            </w:r>
          </w:p>
        </w:tc>
        <w:tc>
          <w:tcPr>
            <w:tcW w:w="4621" w:type="dxa"/>
          </w:tcPr>
          <w:p w:rsidR="00A33664" w:rsidRPr="00372355" w:rsidRDefault="00A33664" w:rsidP="001B4B9E">
            <w:pPr>
              <w:spacing w:before="60" w:after="60"/>
            </w:pP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>Scope of Work</w:t>
            </w:r>
          </w:p>
        </w:tc>
        <w:tc>
          <w:tcPr>
            <w:tcW w:w="4621" w:type="dxa"/>
          </w:tcPr>
          <w:p w:rsidR="00A33664" w:rsidRPr="00A52F30" w:rsidRDefault="00A33664" w:rsidP="00C41D98">
            <w:pPr>
              <w:pStyle w:val="NoSpacing"/>
              <w:numPr>
                <w:ilvl w:val="0"/>
                <w:numId w:val="27"/>
              </w:numPr>
              <w:ind w:left="341" w:hanging="341"/>
              <w:rPr>
                <w:rFonts w:cs="Arial"/>
                <w:color w:val="000000" w:themeColor="text1"/>
                <w:sz w:val="18"/>
                <w:szCs w:val="18"/>
              </w:rPr>
            </w:pPr>
            <w:r w:rsidRPr="00A52F30">
              <w:rPr>
                <w:rFonts w:cs="Arial"/>
                <w:color w:val="000000" w:themeColor="text1"/>
                <w:sz w:val="18"/>
                <w:szCs w:val="18"/>
              </w:rPr>
              <w:t>As detailed in Degree of Autonomy.</w:t>
            </w:r>
          </w:p>
          <w:p w:rsidR="00A33664" w:rsidRPr="00A52F30" w:rsidRDefault="00A33664" w:rsidP="00C41D98">
            <w:pPr>
              <w:pStyle w:val="NoSpacing"/>
              <w:numPr>
                <w:ilvl w:val="0"/>
                <w:numId w:val="27"/>
              </w:numPr>
              <w:ind w:left="341" w:hanging="341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undertake any other specific duties that may be required.</w:t>
            </w:r>
          </w:p>
          <w:p w:rsidR="00C12D4C" w:rsidRPr="00A52F30" w:rsidRDefault="00C12D4C" w:rsidP="00C41D98">
            <w:pPr>
              <w:pStyle w:val="BodyText"/>
              <w:numPr>
                <w:ilvl w:val="0"/>
                <w:numId w:val="27"/>
              </w:numPr>
              <w:ind w:left="341" w:hanging="341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To provide a comprehensive and quality specialist support service to clients and also support other staff involved in advice provision.                        </w:t>
            </w:r>
          </w:p>
          <w:p w:rsidR="00A33664" w:rsidRPr="00F700C5" w:rsidRDefault="00A33664" w:rsidP="00C12D4C">
            <w:pPr>
              <w:pStyle w:val="NoSpacing"/>
              <w:ind w:left="360" w:firstLine="0"/>
              <w:rPr>
                <w:sz w:val="18"/>
                <w:szCs w:val="18"/>
              </w:rPr>
            </w:pPr>
          </w:p>
        </w:tc>
      </w:tr>
      <w:tr w:rsidR="00A33664" w:rsidRPr="00A62D94" w:rsidTr="009C7C36">
        <w:tc>
          <w:tcPr>
            <w:tcW w:w="4621" w:type="dxa"/>
          </w:tcPr>
          <w:p w:rsidR="00A33664" w:rsidRPr="00AF708A" w:rsidRDefault="00A33664" w:rsidP="00F700C5">
            <w:pPr>
              <w:ind w:left="0" w:firstLine="0"/>
              <w:rPr>
                <w:b/>
                <w:sz w:val="18"/>
                <w:szCs w:val="18"/>
              </w:rPr>
            </w:pPr>
            <w:r w:rsidRPr="00AF708A">
              <w:rPr>
                <w:sz w:val="18"/>
                <w:szCs w:val="18"/>
              </w:rPr>
              <w:t>Degree of Autonomy</w:t>
            </w:r>
          </w:p>
        </w:tc>
        <w:tc>
          <w:tcPr>
            <w:tcW w:w="4621" w:type="dxa"/>
          </w:tcPr>
          <w:p w:rsidR="00C12D4C" w:rsidRPr="00A52F30" w:rsidRDefault="00C12D4C" w:rsidP="00C12D4C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 xml:space="preserve">To provide a support and representation service to clients </w:t>
            </w:r>
            <w:r w:rsidR="00C41D98" w:rsidRPr="00A52F30">
              <w:rPr>
                <w:color w:val="000000" w:themeColor="text1"/>
                <w:sz w:val="18"/>
                <w:szCs w:val="18"/>
              </w:rPr>
              <w:t xml:space="preserve">in respect of welfare benefits </w:t>
            </w:r>
            <w:r w:rsidRPr="00A52F30">
              <w:rPr>
                <w:color w:val="000000" w:themeColor="text1"/>
                <w:sz w:val="18"/>
                <w:szCs w:val="18"/>
              </w:rPr>
              <w:t>and other advice related specialist areas.</w:t>
            </w:r>
          </w:p>
          <w:p w:rsidR="00C12D4C" w:rsidRPr="00A52F30" w:rsidRDefault="00C12D4C" w:rsidP="00C12D4C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support other staff by responding to enquiries in matters of interpretation, practice and procedure including tribunal representation social security commissioner’s appeals and current legislation.</w:t>
            </w:r>
          </w:p>
          <w:p w:rsidR="00C12D4C" w:rsidRPr="00A52F30" w:rsidRDefault="00C12D4C" w:rsidP="00C12D4C">
            <w:pPr>
              <w:numPr>
                <w:ilvl w:val="0"/>
                <w:numId w:val="35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calculate and advise service users on his/her statutory entitlements in accordance with appropriate legislation.</w:t>
            </w:r>
          </w:p>
          <w:p w:rsidR="00A52F30" w:rsidRPr="00A52F30" w:rsidRDefault="00C12D4C" w:rsidP="00A52F30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 xml:space="preserve">To work as part of a </w:t>
            </w:r>
            <w:r w:rsidR="00F02A25">
              <w:rPr>
                <w:color w:val="000000" w:themeColor="text1"/>
                <w:sz w:val="18"/>
                <w:szCs w:val="18"/>
              </w:rPr>
              <w:t>Client Representation Unit</w:t>
            </w:r>
            <w:r w:rsidRPr="00A52F30">
              <w:rPr>
                <w:color w:val="000000" w:themeColor="text1"/>
                <w:sz w:val="18"/>
                <w:szCs w:val="18"/>
              </w:rPr>
              <w:t xml:space="preserve"> with a remit agreed with the line manager.</w:t>
            </w:r>
          </w:p>
          <w:p w:rsidR="00A52F30" w:rsidRPr="00A52F30" w:rsidRDefault="00C12D4C" w:rsidP="00A52F30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be responsible for the day to day management, maintenance and prioritising of own case load and that of others within remit.</w:t>
            </w:r>
          </w:p>
          <w:p w:rsidR="00A52F30" w:rsidRPr="00A52F30" w:rsidRDefault="00C12D4C" w:rsidP="00A52F30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maintain expertise in relevant legislation, e.g. discrimination, dismissal, redundancy, disciplinary, Department of Works</w:t>
            </w:r>
            <w:r w:rsidR="00A52F30" w:rsidRPr="00A52F30">
              <w:rPr>
                <w:color w:val="000000" w:themeColor="text1"/>
                <w:sz w:val="18"/>
                <w:szCs w:val="18"/>
              </w:rPr>
              <w:t xml:space="preserve"> and Pensions’ legislation</w:t>
            </w:r>
            <w:r w:rsidR="00F02A25">
              <w:rPr>
                <w:color w:val="000000" w:themeColor="text1"/>
                <w:sz w:val="18"/>
                <w:szCs w:val="18"/>
              </w:rPr>
              <w:t>,</w:t>
            </w:r>
            <w:r w:rsidR="00A52F30" w:rsidRPr="00A52F30">
              <w:rPr>
                <w:color w:val="000000" w:themeColor="text1"/>
                <w:sz w:val="18"/>
                <w:szCs w:val="18"/>
              </w:rPr>
              <w:t xml:space="preserve"> etc.</w:t>
            </w:r>
          </w:p>
          <w:p w:rsidR="00A52F30" w:rsidRPr="00A52F30" w:rsidRDefault="00C12D4C" w:rsidP="00A52F30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advise clients, preparing tribunal papers and representing as required.</w:t>
            </w:r>
          </w:p>
          <w:p w:rsidR="00A52F30" w:rsidRPr="00A52F30" w:rsidRDefault="00C12D4C" w:rsidP="00A52F30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adhere to recognised good practice.</w:t>
            </w:r>
          </w:p>
          <w:p w:rsidR="00A52F30" w:rsidRPr="00A52F30" w:rsidRDefault="00C12D4C" w:rsidP="00A52F30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determine nature of any potential claim and lodge appropriately within relevant time limits.</w:t>
            </w:r>
          </w:p>
          <w:p w:rsid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A52F30">
              <w:rPr>
                <w:color w:val="000000" w:themeColor="text1"/>
                <w:sz w:val="18"/>
                <w:szCs w:val="18"/>
              </w:rPr>
              <w:t>To ensure accurate manual and electronic recording, progressing and monitoring of client cases timeously in accordance with recognised good practice.</w:t>
            </w:r>
          </w:p>
          <w:p w:rsid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color w:val="000000" w:themeColor="text1"/>
                <w:sz w:val="18"/>
                <w:szCs w:val="18"/>
              </w:rPr>
              <w:t>To follow our Company procedures in accordance with employment practice as laid down in the Operations Manual.</w:t>
            </w:r>
          </w:p>
          <w:p w:rsidR="00B05576" w:rsidRP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 xml:space="preserve">To negotiate on behalf of our clients with respondents, </w:t>
            </w:r>
            <w:r w:rsidRPr="00B05576">
              <w:rPr>
                <w:sz w:val="18"/>
                <w:szCs w:val="18"/>
              </w:rPr>
              <w:lastRenderedPageBreak/>
              <w:t>their representatives, representatives of other agencies both statutory and voluntary as appropriate.</w:t>
            </w:r>
          </w:p>
          <w:p w:rsid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>To meet with clients in other locations out</w:t>
            </w:r>
            <w:r w:rsidR="00F02A25" w:rsidRPr="00B05576">
              <w:rPr>
                <w:sz w:val="18"/>
                <w:szCs w:val="18"/>
              </w:rPr>
              <w:t xml:space="preserve"> </w:t>
            </w:r>
            <w:r w:rsidRPr="00B05576">
              <w:rPr>
                <w:sz w:val="18"/>
                <w:szCs w:val="18"/>
              </w:rPr>
              <w:t>with main offices, including home visits.</w:t>
            </w:r>
          </w:p>
          <w:p w:rsid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>To identify</w:t>
            </w:r>
            <w:r w:rsidR="00F02A25" w:rsidRPr="00B05576">
              <w:rPr>
                <w:sz w:val="18"/>
                <w:szCs w:val="18"/>
              </w:rPr>
              <w:t xml:space="preserve"> areas of particular concern in </w:t>
            </w:r>
            <w:r w:rsidRPr="00B05576">
              <w:rPr>
                <w:sz w:val="18"/>
                <w:szCs w:val="18"/>
              </w:rPr>
              <w:t>welfare benefit casework and other related specialist areas and to contribute on matters of social policy.</w:t>
            </w:r>
          </w:p>
          <w:p w:rsid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>To undertake periodic short presentations and talks on advice issues to a variety of audiences.</w:t>
            </w:r>
          </w:p>
          <w:p w:rsidR="00B05576" w:rsidRP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>To take responsibility for referra</w:t>
            </w:r>
            <w:r w:rsidR="00B05576">
              <w:rPr>
                <w:sz w:val="18"/>
                <w:szCs w:val="18"/>
              </w:rPr>
              <w:t>ls to/from other organisations.</w:t>
            </w:r>
          </w:p>
          <w:p w:rsidR="00B05576" w:rsidRP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>To undertake advice related project work on an ad hoc basis as required.</w:t>
            </w:r>
          </w:p>
          <w:p w:rsidR="00C12D4C" w:rsidRPr="00B05576" w:rsidRDefault="00C12D4C" w:rsidP="00B05576">
            <w:pPr>
              <w:numPr>
                <w:ilvl w:val="0"/>
                <w:numId w:val="30"/>
              </w:numPr>
              <w:tabs>
                <w:tab w:val="left" w:pos="360"/>
              </w:tabs>
              <w:ind w:hanging="303"/>
              <w:jc w:val="both"/>
              <w:rPr>
                <w:color w:val="000000" w:themeColor="text1"/>
                <w:sz w:val="18"/>
                <w:szCs w:val="18"/>
              </w:rPr>
            </w:pPr>
            <w:r w:rsidRPr="00B05576">
              <w:rPr>
                <w:sz w:val="18"/>
                <w:szCs w:val="18"/>
              </w:rPr>
              <w:t>To make and co-ordinate appointments on behalf of clients and other staff.</w:t>
            </w:r>
          </w:p>
          <w:p w:rsidR="00A33664" w:rsidRPr="00AF708A" w:rsidRDefault="00A33664" w:rsidP="00962C1F">
            <w:pPr>
              <w:ind w:left="360" w:right="-108" w:firstLine="0"/>
              <w:rPr>
                <w:sz w:val="18"/>
                <w:szCs w:val="18"/>
              </w:rPr>
            </w:pP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lastRenderedPageBreak/>
              <w:t>Processes</w:t>
            </w:r>
          </w:p>
        </w:tc>
        <w:tc>
          <w:tcPr>
            <w:tcW w:w="4621" w:type="dxa"/>
          </w:tcPr>
          <w:p w:rsidR="00A33664" w:rsidRPr="00C12D4C" w:rsidRDefault="00A33664" w:rsidP="00B05576">
            <w:pPr>
              <w:pStyle w:val="ListParagraph"/>
              <w:numPr>
                <w:ilvl w:val="0"/>
                <w:numId w:val="31"/>
              </w:numPr>
              <w:ind w:hanging="303"/>
              <w:rPr>
                <w:rFonts w:cs="Arial"/>
                <w:sz w:val="18"/>
                <w:szCs w:val="18"/>
              </w:rPr>
            </w:pPr>
            <w:r w:rsidRPr="00C12D4C">
              <w:rPr>
                <w:rFonts w:ascii="Calibri" w:eastAsia="Calibri" w:hAnsi="Calibri" w:cs="Arial"/>
                <w:sz w:val="18"/>
                <w:szCs w:val="18"/>
              </w:rPr>
              <w:t>Ensure accurate recording, progressing and monitoring of client cases in accordance with recognised good practice and internal procedures.</w:t>
            </w:r>
          </w:p>
          <w:p w:rsidR="00A33664" w:rsidRPr="00C12D4C" w:rsidRDefault="00A33664" w:rsidP="00B05576">
            <w:pPr>
              <w:pStyle w:val="ListParagraph"/>
              <w:numPr>
                <w:ilvl w:val="0"/>
                <w:numId w:val="31"/>
              </w:numPr>
              <w:ind w:hanging="303"/>
              <w:rPr>
                <w:rFonts w:ascii="Calibri" w:eastAsia="Calibri" w:hAnsi="Calibri" w:cs="Arial"/>
                <w:sz w:val="18"/>
                <w:szCs w:val="18"/>
              </w:rPr>
            </w:pPr>
            <w:r w:rsidRPr="00C12D4C">
              <w:rPr>
                <w:rFonts w:ascii="Calibri" w:eastAsia="Calibri" w:hAnsi="Calibri" w:cs="Arial"/>
                <w:sz w:val="18"/>
                <w:szCs w:val="18"/>
              </w:rPr>
              <w:t>Collate statistical data, review and interpret performance data and submit regular written reports as required by management</w:t>
            </w:r>
          </w:p>
          <w:p w:rsidR="00A33664" w:rsidRPr="00A33664" w:rsidRDefault="00A33664" w:rsidP="00B05576">
            <w:pPr>
              <w:pStyle w:val="NoSpacing"/>
              <w:numPr>
                <w:ilvl w:val="0"/>
                <w:numId w:val="31"/>
              </w:numPr>
              <w:ind w:hanging="303"/>
              <w:rPr>
                <w:rFonts w:eastAsia="Calibri"/>
                <w:sz w:val="18"/>
                <w:szCs w:val="18"/>
              </w:rPr>
            </w:pPr>
            <w:r w:rsidRPr="00A33664">
              <w:rPr>
                <w:rFonts w:eastAsia="Calibri"/>
                <w:sz w:val="18"/>
                <w:szCs w:val="18"/>
              </w:rPr>
              <w:t>To be responsible for all aspects of service delivery within the above remit, including quality and performance recording and monitoring, to ensure targets, outcomes and standards are met.</w:t>
            </w:r>
          </w:p>
          <w:p w:rsidR="00C12D4C" w:rsidRPr="00C12D4C" w:rsidRDefault="00C12D4C" w:rsidP="00B0557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hanging="303"/>
              <w:jc w:val="both"/>
              <w:rPr>
                <w:sz w:val="18"/>
                <w:szCs w:val="18"/>
              </w:rPr>
            </w:pPr>
            <w:r w:rsidRPr="00C12D4C">
              <w:rPr>
                <w:sz w:val="18"/>
                <w:szCs w:val="18"/>
              </w:rPr>
              <w:t>To ensure accurate manual and electronic recording, progressing and monitoring of client cases timeously in accordance with recognised good practice.</w:t>
            </w:r>
          </w:p>
          <w:p w:rsidR="00C12D4C" w:rsidRPr="00C12D4C" w:rsidRDefault="00C12D4C" w:rsidP="00B0557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hanging="303"/>
              <w:jc w:val="both"/>
              <w:rPr>
                <w:sz w:val="18"/>
                <w:szCs w:val="18"/>
              </w:rPr>
            </w:pPr>
            <w:r w:rsidRPr="00C12D4C">
              <w:rPr>
                <w:sz w:val="18"/>
                <w:szCs w:val="18"/>
              </w:rPr>
              <w:t>To follow our Company procedures in accordance with employment practice as laid down in the Operations Manual.</w:t>
            </w:r>
          </w:p>
          <w:p w:rsidR="00A33664" w:rsidRPr="00AF708A" w:rsidRDefault="00A33664" w:rsidP="00BB03D9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 xml:space="preserve">Quality </w:t>
            </w:r>
          </w:p>
        </w:tc>
        <w:tc>
          <w:tcPr>
            <w:tcW w:w="4621" w:type="dxa"/>
          </w:tcPr>
          <w:p w:rsidR="00A52F30" w:rsidRDefault="00A33664" w:rsidP="00B05576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sz w:val="18"/>
                <w:szCs w:val="18"/>
              </w:rPr>
            </w:pPr>
            <w:r w:rsidRPr="00BB03D9">
              <w:rPr>
                <w:sz w:val="18"/>
                <w:szCs w:val="18"/>
              </w:rPr>
              <w:t xml:space="preserve">Adhere to CARF’s recognised good practice and standard processes and procedures to ensure governance and compliance at all times. </w:t>
            </w:r>
          </w:p>
          <w:p w:rsidR="00A52F30" w:rsidRDefault="00A33664" w:rsidP="00B05576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>Contribute to overall efficiency and quality of processes and procedures.</w:t>
            </w:r>
          </w:p>
          <w:p w:rsidR="00A52F30" w:rsidRDefault="00A33664" w:rsidP="00B05576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>Ensure compliance with quality and statutory standards which requires maintaining a working knowledge of current local and national legislation, guidelines and key areas of advice.</w:t>
            </w:r>
          </w:p>
          <w:p w:rsidR="00A33664" w:rsidRPr="00A52F30" w:rsidRDefault="00A33664" w:rsidP="00B05576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rFonts w:ascii="Calibri" w:eastAsia="Calibri" w:hAnsi="Calibri" w:cs="Arial"/>
                <w:sz w:val="18"/>
                <w:szCs w:val="18"/>
              </w:rPr>
              <w:t>Work within specified quality of advice and service standards</w:t>
            </w: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>Skills</w:t>
            </w:r>
          </w:p>
        </w:tc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</w:p>
          <w:p w:rsidR="00A33664" w:rsidRPr="008C20B4" w:rsidRDefault="00A33664" w:rsidP="00A52F3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41"/>
              </w:tabs>
              <w:ind w:hanging="663"/>
              <w:rPr>
                <w:sz w:val="18"/>
                <w:szCs w:val="18"/>
              </w:rPr>
            </w:pPr>
            <w:r w:rsidRPr="008C20B4">
              <w:rPr>
                <w:sz w:val="18"/>
                <w:szCs w:val="18"/>
              </w:rPr>
              <w:t>IT Literate.</w:t>
            </w:r>
          </w:p>
          <w:p w:rsidR="00A33664" w:rsidRPr="008C20B4" w:rsidRDefault="00A33664" w:rsidP="00A52F3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41"/>
              </w:tabs>
              <w:ind w:hanging="663"/>
              <w:rPr>
                <w:sz w:val="18"/>
                <w:szCs w:val="18"/>
              </w:rPr>
            </w:pPr>
            <w:r w:rsidRPr="008C20B4">
              <w:rPr>
                <w:sz w:val="18"/>
                <w:szCs w:val="18"/>
              </w:rPr>
              <w:t>Customer Facing expertise</w:t>
            </w:r>
          </w:p>
          <w:p w:rsidR="00A33664" w:rsidRPr="008C20B4" w:rsidRDefault="00A33664" w:rsidP="00A52F3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41"/>
              </w:tabs>
              <w:ind w:hanging="663"/>
              <w:rPr>
                <w:sz w:val="18"/>
                <w:szCs w:val="18"/>
              </w:rPr>
            </w:pPr>
            <w:r w:rsidRPr="008C20B4">
              <w:rPr>
                <w:sz w:val="18"/>
                <w:szCs w:val="18"/>
              </w:rPr>
              <w:t>Excellent written, oral and communication skills.</w:t>
            </w:r>
          </w:p>
          <w:p w:rsidR="00A52F30" w:rsidRDefault="00A33664" w:rsidP="00A52F3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41"/>
              </w:tabs>
              <w:ind w:hanging="663"/>
              <w:rPr>
                <w:sz w:val="18"/>
                <w:szCs w:val="18"/>
              </w:rPr>
            </w:pPr>
            <w:r w:rsidRPr="008C20B4">
              <w:rPr>
                <w:sz w:val="18"/>
                <w:szCs w:val="18"/>
              </w:rPr>
              <w:t>Organisational/planning skills.</w:t>
            </w:r>
          </w:p>
          <w:p w:rsidR="00A52F30" w:rsidRDefault="00A33664" w:rsidP="00A52F3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41"/>
              </w:tabs>
              <w:ind w:hanging="663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>Person specificati</w:t>
            </w:r>
            <w:r w:rsidR="00A52F30" w:rsidRPr="00A52F30">
              <w:rPr>
                <w:sz w:val="18"/>
                <w:szCs w:val="18"/>
              </w:rPr>
              <w:t>on requirements are detailed i</w:t>
            </w:r>
            <w:r w:rsidR="00A52F30">
              <w:rPr>
                <w:sz w:val="18"/>
                <w:szCs w:val="18"/>
              </w:rPr>
              <w:t>n</w:t>
            </w:r>
          </w:p>
          <w:p w:rsidR="00A33664" w:rsidRPr="00A52F30" w:rsidRDefault="00A52F30" w:rsidP="00A52F30">
            <w:pPr>
              <w:tabs>
                <w:tab w:val="num" w:pos="341"/>
              </w:tabs>
              <w:ind w:left="5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33664" w:rsidRPr="00A52F30">
              <w:rPr>
                <w:sz w:val="18"/>
                <w:szCs w:val="18"/>
              </w:rPr>
              <w:t>person specification document.</w:t>
            </w:r>
          </w:p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t>Knowledge</w:t>
            </w:r>
          </w:p>
        </w:tc>
        <w:tc>
          <w:tcPr>
            <w:tcW w:w="4621" w:type="dxa"/>
          </w:tcPr>
          <w:p w:rsidR="00A52F30" w:rsidRDefault="00A33664" w:rsidP="00B05576">
            <w:pPr>
              <w:pStyle w:val="ListParagraph"/>
              <w:numPr>
                <w:ilvl w:val="0"/>
                <w:numId w:val="37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 xml:space="preserve">Understand aims and principles of policies and procedures and contribute to development and revision of these policies and procedures.  </w:t>
            </w:r>
          </w:p>
          <w:p w:rsidR="00A52F30" w:rsidRDefault="00A33664" w:rsidP="00B05576">
            <w:pPr>
              <w:pStyle w:val="ListParagraph"/>
              <w:numPr>
                <w:ilvl w:val="0"/>
                <w:numId w:val="37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>Identify and progress matters relevant to the remit and within current guidelines and processes.</w:t>
            </w:r>
          </w:p>
          <w:p w:rsidR="00A33664" w:rsidRPr="00A52F30" w:rsidRDefault="00A33664" w:rsidP="00B05576">
            <w:pPr>
              <w:pStyle w:val="ListParagraph"/>
              <w:numPr>
                <w:ilvl w:val="0"/>
                <w:numId w:val="37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>Have and maintain expertise in relevant legislation, case law, codes of practice related to this field of work.</w:t>
            </w:r>
          </w:p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A33664" w:rsidRPr="00A62D94" w:rsidTr="009C7C36">
        <w:tc>
          <w:tcPr>
            <w:tcW w:w="4621" w:type="dxa"/>
          </w:tcPr>
          <w:p w:rsidR="00A33664" w:rsidRPr="00F700C5" w:rsidRDefault="00A33664" w:rsidP="00F700C5">
            <w:pPr>
              <w:ind w:left="0" w:firstLine="0"/>
              <w:rPr>
                <w:sz w:val="18"/>
                <w:szCs w:val="18"/>
              </w:rPr>
            </w:pPr>
            <w:r w:rsidRPr="00F700C5">
              <w:rPr>
                <w:sz w:val="18"/>
                <w:szCs w:val="18"/>
              </w:rPr>
              <w:lastRenderedPageBreak/>
              <w:t>Personal Development</w:t>
            </w:r>
          </w:p>
        </w:tc>
        <w:tc>
          <w:tcPr>
            <w:tcW w:w="4621" w:type="dxa"/>
          </w:tcPr>
          <w:p w:rsidR="00A52F30" w:rsidRPr="00A52F30" w:rsidRDefault="00A33664" w:rsidP="00B05576">
            <w:pPr>
              <w:pStyle w:val="ListParagraph"/>
              <w:numPr>
                <w:ilvl w:val="0"/>
                <w:numId w:val="38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 xml:space="preserve">Identification of personal strengths and weakness, as well as identifying personal training needs. </w:t>
            </w:r>
          </w:p>
          <w:p w:rsidR="00A33664" w:rsidRPr="00A52F30" w:rsidRDefault="00A33664" w:rsidP="00B05576">
            <w:pPr>
              <w:pStyle w:val="ListParagraph"/>
              <w:numPr>
                <w:ilvl w:val="0"/>
                <w:numId w:val="38"/>
              </w:numPr>
              <w:ind w:left="341" w:hanging="284"/>
              <w:rPr>
                <w:sz w:val="18"/>
                <w:szCs w:val="18"/>
              </w:rPr>
            </w:pPr>
            <w:r w:rsidRPr="00A52F30">
              <w:rPr>
                <w:sz w:val="18"/>
                <w:szCs w:val="18"/>
              </w:rPr>
              <w:t xml:space="preserve">To attend in-house and external training courses as </w:t>
            </w:r>
            <w:r w:rsidRPr="00A52F30">
              <w:rPr>
                <w:color w:val="000000" w:themeColor="text1"/>
                <w:sz w:val="18"/>
                <w:szCs w:val="18"/>
              </w:rPr>
              <w:t>appropriate</w:t>
            </w:r>
          </w:p>
        </w:tc>
      </w:tr>
    </w:tbl>
    <w:p w:rsidR="00644701" w:rsidRPr="00A62D94" w:rsidRDefault="00644701" w:rsidP="00603197">
      <w:pPr>
        <w:rPr>
          <w:sz w:val="20"/>
          <w:szCs w:val="20"/>
        </w:rPr>
      </w:pPr>
    </w:p>
    <w:sectPr w:rsidR="00644701" w:rsidRPr="00A62D94" w:rsidSect="00F700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82" w:rsidRDefault="00796B82" w:rsidP="00F700C5">
      <w:r>
        <w:separator/>
      </w:r>
    </w:p>
  </w:endnote>
  <w:endnote w:type="continuationSeparator" w:id="0">
    <w:p w:rsidR="00796B82" w:rsidRDefault="00796B82" w:rsidP="00F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2082"/>
      <w:docPartObj>
        <w:docPartGallery w:val="Page Numbers (Bottom of Page)"/>
        <w:docPartUnique/>
      </w:docPartObj>
    </w:sdtPr>
    <w:sdtEndPr/>
    <w:sdtContent>
      <w:p w:rsidR="00431A89" w:rsidRDefault="000E37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D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00C5" w:rsidRDefault="00F70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82" w:rsidRDefault="00796B82" w:rsidP="00F700C5">
      <w:r>
        <w:separator/>
      </w:r>
    </w:p>
  </w:footnote>
  <w:footnote w:type="continuationSeparator" w:id="0">
    <w:p w:rsidR="00796B82" w:rsidRDefault="00796B82" w:rsidP="00F7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5" w:rsidRDefault="00431A89" w:rsidP="00431A89">
    <w:pPr>
      <w:pStyle w:val="Header"/>
    </w:pPr>
    <w:r>
      <w:rPr>
        <w:noProof/>
        <w:lang w:eastAsia="en-GB"/>
      </w:rPr>
      <w:drawing>
        <wp:inline distT="0" distB="0" distL="0" distR="0">
          <wp:extent cx="860550" cy="504000"/>
          <wp:effectExtent l="19050" t="0" r="0" b="0"/>
          <wp:docPr id="1" name="Picture 0" descr="CARF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F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055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S</w:t>
    </w:r>
    <w:r w:rsidR="00F700C5">
      <w:t>CQF COMPETENCIES</w:t>
    </w:r>
  </w:p>
  <w:p w:rsidR="00377528" w:rsidRDefault="00377528" w:rsidP="00F700C5">
    <w:pPr>
      <w:pStyle w:val="Header"/>
      <w:jc w:val="center"/>
    </w:pPr>
    <w:r>
      <w:t>Job Description</w:t>
    </w:r>
  </w:p>
  <w:p w:rsidR="00F700C5" w:rsidRDefault="00F700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AD0"/>
    <w:multiLevelType w:val="hybridMultilevel"/>
    <w:tmpl w:val="0F3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505"/>
    <w:multiLevelType w:val="hybridMultilevel"/>
    <w:tmpl w:val="4BF8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2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352213"/>
    <w:multiLevelType w:val="hybridMultilevel"/>
    <w:tmpl w:val="C55C1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C2DB3"/>
    <w:multiLevelType w:val="hybridMultilevel"/>
    <w:tmpl w:val="95B48D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CC07C7"/>
    <w:multiLevelType w:val="hybridMultilevel"/>
    <w:tmpl w:val="A3F8D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F136C"/>
    <w:multiLevelType w:val="hybridMultilevel"/>
    <w:tmpl w:val="823C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63F02"/>
    <w:multiLevelType w:val="hybridMultilevel"/>
    <w:tmpl w:val="E1C2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F13B9"/>
    <w:multiLevelType w:val="hybridMultilevel"/>
    <w:tmpl w:val="F6B6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7B49"/>
    <w:multiLevelType w:val="hybridMultilevel"/>
    <w:tmpl w:val="EFCCF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A21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1A04C5"/>
    <w:multiLevelType w:val="hybridMultilevel"/>
    <w:tmpl w:val="537A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76E58"/>
    <w:multiLevelType w:val="hybridMultilevel"/>
    <w:tmpl w:val="FE083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859A3"/>
    <w:multiLevelType w:val="hybridMultilevel"/>
    <w:tmpl w:val="3A38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D1FC7"/>
    <w:multiLevelType w:val="hybridMultilevel"/>
    <w:tmpl w:val="F41C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85EB9"/>
    <w:multiLevelType w:val="hybridMultilevel"/>
    <w:tmpl w:val="4EA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357E0"/>
    <w:multiLevelType w:val="hybridMultilevel"/>
    <w:tmpl w:val="E4B6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C6C88"/>
    <w:multiLevelType w:val="hybridMultilevel"/>
    <w:tmpl w:val="C7267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41B21"/>
    <w:multiLevelType w:val="hybridMultilevel"/>
    <w:tmpl w:val="12280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694F"/>
    <w:multiLevelType w:val="hybridMultilevel"/>
    <w:tmpl w:val="0754A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944C0"/>
    <w:multiLevelType w:val="hybridMultilevel"/>
    <w:tmpl w:val="E8FCB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420DC3"/>
    <w:multiLevelType w:val="hybridMultilevel"/>
    <w:tmpl w:val="3FF6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41E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B20430"/>
    <w:multiLevelType w:val="hybridMultilevel"/>
    <w:tmpl w:val="9EE4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D1F29"/>
    <w:multiLevelType w:val="hybridMultilevel"/>
    <w:tmpl w:val="2932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165F2"/>
    <w:multiLevelType w:val="hybridMultilevel"/>
    <w:tmpl w:val="8702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F37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CC3D9E"/>
    <w:multiLevelType w:val="hybridMultilevel"/>
    <w:tmpl w:val="188C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013C0"/>
    <w:multiLevelType w:val="hybridMultilevel"/>
    <w:tmpl w:val="B268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B46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5EDE3F07"/>
    <w:multiLevelType w:val="hybridMultilevel"/>
    <w:tmpl w:val="3E3CDE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6565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F420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5B0B44"/>
    <w:multiLevelType w:val="hybridMultilevel"/>
    <w:tmpl w:val="274A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B6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98B1A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7CD001AC"/>
    <w:multiLevelType w:val="hybridMultilevel"/>
    <w:tmpl w:val="9536B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A53B9"/>
    <w:multiLevelType w:val="hybridMultilevel"/>
    <w:tmpl w:val="580E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7"/>
  </w:num>
  <w:num w:numId="4">
    <w:abstractNumId w:val="12"/>
  </w:num>
  <w:num w:numId="5">
    <w:abstractNumId w:val="8"/>
  </w:num>
  <w:num w:numId="6">
    <w:abstractNumId w:val="23"/>
  </w:num>
  <w:num w:numId="7">
    <w:abstractNumId w:val="13"/>
  </w:num>
  <w:num w:numId="8">
    <w:abstractNumId w:val="9"/>
  </w:num>
  <w:num w:numId="9">
    <w:abstractNumId w:val="11"/>
  </w:num>
  <w:num w:numId="10">
    <w:abstractNumId w:val="24"/>
  </w:num>
  <w:num w:numId="11">
    <w:abstractNumId w:val="0"/>
  </w:num>
  <w:num w:numId="12">
    <w:abstractNumId w:val="19"/>
  </w:num>
  <w:num w:numId="13">
    <w:abstractNumId w:val="5"/>
  </w:num>
  <w:num w:numId="14">
    <w:abstractNumId w:val="17"/>
  </w:num>
  <w:num w:numId="15">
    <w:abstractNumId w:val="15"/>
  </w:num>
  <w:num w:numId="16">
    <w:abstractNumId w:val="30"/>
  </w:num>
  <w:num w:numId="17">
    <w:abstractNumId w:val="4"/>
  </w:num>
  <w:num w:numId="18">
    <w:abstractNumId w:val="21"/>
  </w:num>
  <w:num w:numId="19">
    <w:abstractNumId w:val="16"/>
  </w:num>
  <w:num w:numId="20">
    <w:abstractNumId w:val="28"/>
  </w:num>
  <w:num w:numId="21">
    <w:abstractNumId w:val="25"/>
  </w:num>
  <w:num w:numId="22">
    <w:abstractNumId w:val="6"/>
  </w:num>
  <w:num w:numId="23">
    <w:abstractNumId w:val="29"/>
  </w:num>
  <w:num w:numId="24">
    <w:abstractNumId w:val="18"/>
  </w:num>
  <w:num w:numId="25">
    <w:abstractNumId w:val="35"/>
  </w:num>
  <w:num w:numId="26">
    <w:abstractNumId w:val="20"/>
  </w:num>
  <w:num w:numId="27">
    <w:abstractNumId w:val="7"/>
  </w:num>
  <w:num w:numId="28">
    <w:abstractNumId w:val="36"/>
  </w:num>
  <w:num w:numId="29">
    <w:abstractNumId w:val="26"/>
  </w:num>
  <w:num w:numId="30">
    <w:abstractNumId w:val="31"/>
  </w:num>
  <w:num w:numId="31">
    <w:abstractNumId w:val="34"/>
  </w:num>
  <w:num w:numId="32">
    <w:abstractNumId w:val="10"/>
  </w:num>
  <w:num w:numId="33">
    <w:abstractNumId w:val="2"/>
  </w:num>
  <w:num w:numId="34">
    <w:abstractNumId w:val="32"/>
  </w:num>
  <w:num w:numId="35">
    <w:abstractNumId w:val="22"/>
  </w:num>
  <w:num w:numId="36">
    <w:abstractNumId w:val="3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characterSpacingControl w:val="doNotCompress"/>
  <w:hdrShapeDefaults>
    <o:shapedefaults v:ext="edit" spidmax="296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97"/>
    <w:rsid w:val="000202F2"/>
    <w:rsid w:val="000354D1"/>
    <w:rsid w:val="000948FF"/>
    <w:rsid w:val="000C2CBB"/>
    <w:rsid w:val="000D0BD4"/>
    <w:rsid w:val="000D6ACE"/>
    <w:rsid w:val="000E374D"/>
    <w:rsid w:val="0013339C"/>
    <w:rsid w:val="001C3602"/>
    <w:rsid w:val="00222943"/>
    <w:rsid w:val="002229A6"/>
    <w:rsid w:val="002471DC"/>
    <w:rsid w:val="002F2480"/>
    <w:rsid w:val="003413E0"/>
    <w:rsid w:val="00377528"/>
    <w:rsid w:val="003D123A"/>
    <w:rsid w:val="00431A89"/>
    <w:rsid w:val="004F7DE3"/>
    <w:rsid w:val="005578B4"/>
    <w:rsid w:val="00600D33"/>
    <w:rsid w:val="006026BA"/>
    <w:rsid w:val="00603197"/>
    <w:rsid w:val="00644701"/>
    <w:rsid w:val="00685708"/>
    <w:rsid w:val="00726F08"/>
    <w:rsid w:val="00796B82"/>
    <w:rsid w:val="007C4B58"/>
    <w:rsid w:val="007D57D0"/>
    <w:rsid w:val="007E031C"/>
    <w:rsid w:val="00827688"/>
    <w:rsid w:val="008823AE"/>
    <w:rsid w:val="008C20B4"/>
    <w:rsid w:val="008D3759"/>
    <w:rsid w:val="008E6F48"/>
    <w:rsid w:val="00917BEB"/>
    <w:rsid w:val="00962C1F"/>
    <w:rsid w:val="009C7C36"/>
    <w:rsid w:val="00A33664"/>
    <w:rsid w:val="00A52F30"/>
    <w:rsid w:val="00A62D94"/>
    <w:rsid w:val="00A8394A"/>
    <w:rsid w:val="00AB0700"/>
    <w:rsid w:val="00AB5DE4"/>
    <w:rsid w:val="00AE038D"/>
    <w:rsid w:val="00AF708A"/>
    <w:rsid w:val="00B05576"/>
    <w:rsid w:val="00B61447"/>
    <w:rsid w:val="00B655CE"/>
    <w:rsid w:val="00B77F07"/>
    <w:rsid w:val="00BB03D9"/>
    <w:rsid w:val="00C12D4C"/>
    <w:rsid w:val="00C130A1"/>
    <w:rsid w:val="00C41D98"/>
    <w:rsid w:val="00D05972"/>
    <w:rsid w:val="00DE750F"/>
    <w:rsid w:val="00EA67F4"/>
    <w:rsid w:val="00F02A25"/>
    <w:rsid w:val="00F04534"/>
    <w:rsid w:val="00F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01"/>
  </w:style>
  <w:style w:type="paragraph" w:styleId="Heading1">
    <w:name w:val="heading 1"/>
    <w:basedOn w:val="Normal"/>
    <w:next w:val="Normal"/>
    <w:link w:val="Heading1Char"/>
    <w:qFormat/>
    <w:rsid w:val="006031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97"/>
  </w:style>
  <w:style w:type="character" w:customStyle="1" w:styleId="Heading1Char">
    <w:name w:val="Heading 1 Char"/>
    <w:basedOn w:val="DefaultParagraphFont"/>
    <w:link w:val="Heading1"/>
    <w:uiPriority w:val="9"/>
    <w:rsid w:val="0060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031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basedOn w:val="TableNormal"/>
    <w:uiPriority w:val="64"/>
    <w:rsid w:val="0060319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60319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6031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nhideWhenUsed/>
    <w:rsid w:val="00F70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0C5"/>
  </w:style>
  <w:style w:type="paragraph" w:styleId="Footer">
    <w:name w:val="footer"/>
    <w:basedOn w:val="Normal"/>
    <w:link w:val="FooterChar"/>
    <w:uiPriority w:val="99"/>
    <w:unhideWhenUsed/>
    <w:rsid w:val="00F70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0C5"/>
  </w:style>
  <w:style w:type="paragraph" w:styleId="BalloonText">
    <w:name w:val="Balloon Text"/>
    <w:basedOn w:val="Normal"/>
    <w:link w:val="BalloonTextChar"/>
    <w:uiPriority w:val="99"/>
    <w:semiHidden/>
    <w:unhideWhenUsed/>
    <w:rsid w:val="00F7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88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0354D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rsid w:val="00C12D4C"/>
    <w:pPr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4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ightShading">
    <w:name w:val="Light Shading"/>
    <w:basedOn w:val="TableNormal"/>
    <w:uiPriority w:val="60"/>
    <w:rsid w:val="009C7C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01"/>
  </w:style>
  <w:style w:type="paragraph" w:styleId="Heading1">
    <w:name w:val="heading 1"/>
    <w:basedOn w:val="Normal"/>
    <w:next w:val="Normal"/>
    <w:link w:val="Heading1Char"/>
    <w:qFormat/>
    <w:rsid w:val="006031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97"/>
  </w:style>
  <w:style w:type="character" w:customStyle="1" w:styleId="Heading1Char">
    <w:name w:val="Heading 1 Char"/>
    <w:basedOn w:val="DefaultParagraphFont"/>
    <w:link w:val="Heading1"/>
    <w:uiPriority w:val="9"/>
    <w:rsid w:val="0060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031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basedOn w:val="TableNormal"/>
    <w:uiPriority w:val="64"/>
    <w:rsid w:val="0060319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60319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6031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nhideWhenUsed/>
    <w:rsid w:val="00F70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0C5"/>
  </w:style>
  <w:style w:type="paragraph" w:styleId="Footer">
    <w:name w:val="footer"/>
    <w:basedOn w:val="Normal"/>
    <w:link w:val="FooterChar"/>
    <w:uiPriority w:val="99"/>
    <w:unhideWhenUsed/>
    <w:rsid w:val="00F70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0C5"/>
  </w:style>
  <w:style w:type="paragraph" w:styleId="BalloonText">
    <w:name w:val="Balloon Text"/>
    <w:basedOn w:val="Normal"/>
    <w:link w:val="BalloonTextChar"/>
    <w:uiPriority w:val="99"/>
    <w:semiHidden/>
    <w:unhideWhenUsed/>
    <w:rsid w:val="00F7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688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0354D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rsid w:val="00C12D4C"/>
    <w:pPr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4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ightShading">
    <w:name w:val="Light Shading"/>
    <w:basedOn w:val="TableNormal"/>
    <w:uiPriority w:val="60"/>
    <w:rsid w:val="009C7C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and Rights Fife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CARF</cp:lastModifiedBy>
  <cp:revision>2</cp:revision>
  <dcterms:created xsi:type="dcterms:W3CDTF">2017-05-30T13:06:00Z</dcterms:created>
  <dcterms:modified xsi:type="dcterms:W3CDTF">2017-05-30T13:06:00Z</dcterms:modified>
</cp:coreProperties>
</file>